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08CE59"/>
    <w:p w14:paraId="6A65CC0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CDB1727">
      <w:pPr>
        <w:spacing w:line="540" w:lineRule="exact"/>
        <w:jc w:val="center"/>
        <w:rPr>
          <w:rFonts w:ascii="华文中宋" w:hAnsi="华文中宋" w:eastAsia="华文中宋" w:cs="宋体"/>
          <w:b/>
          <w:kern w:val="0"/>
          <w:sz w:val="52"/>
          <w:szCs w:val="52"/>
        </w:rPr>
      </w:pPr>
    </w:p>
    <w:p w14:paraId="07E42CEB">
      <w:pPr>
        <w:spacing w:line="540" w:lineRule="exact"/>
        <w:jc w:val="center"/>
        <w:rPr>
          <w:rFonts w:ascii="华文中宋" w:hAnsi="华文中宋" w:eastAsia="华文中宋" w:cs="宋体"/>
          <w:b/>
          <w:kern w:val="0"/>
          <w:sz w:val="52"/>
          <w:szCs w:val="52"/>
        </w:rPr>
      </w:pPr>
    </w:p>
    <w:p w14:paraId="17516417">
      <w:pPr>
        <w:spacing w:line="540" w:lineRule="exact"/>
        <w:jc w:val="center"/>
        <w:rPr>
          <w:rFonts w:ascii="华文中宋" w:hAnsi="华文中宋" w:eastAsia="华文中宋" w:cs="宋体"/>
          <w:b/>
          <w:kern w:val="0"/>
          <w:sz w:val="52"/>
          <w:szCs w:val="52"/>
        </w:rPr>
      </w:pPr>
    </w:p>
    <w:p w14:paraId="1BF6674D">
      <w:pPr>
        <w:spacing w:line="540" w:lineRule="exact"/>
        <w:jc w:val="center"/>
        <w:rPr>
          <w:rFonts w:ascii="华文中宋" w:hAnsi="华文中宋" w:eastAsia="华文中宋" w:cs="宋体"/>
          <w:b/>
          <w:kern w:val="0"/>
          <w:sz w:val="52"/>
          <w:szCs w:val="52"/>
        </w:rPr>
      </w:pPr>
    </w:p>
    <w:p w14:paraId="4E203490">
      <w:pPr>
        <w:spacing w:line="540" w:lineRule="exact"/>
        <w:jc w:val="center"/>
        <w:rPr>
          <w:rFonts w:ascii="华文中宋" w:hAnsi="华文中宋" w:eastAsia="华文中宋" w:cs="宋体"/>
          <w:b/>
          <w:kern w:val="0"/>
          <w:sz w:val="52"/>
          <w:szCs w:val="52"/>
        </w:rPr>
      </w:pPr>
    </w:p>
    <w:p w14:paraId="08B69D69">
      <w:pPr>
        <w:spacing w:line="540" w:lineRule="exact"/>
        <w:jc w:val="center"/>
        <w:rPr>
          <w:rFonts w:ascii="华文中宋" w:hAnsi="华文中宋" w:eastAsia="华文中宋" w:cs="宋体"/>
          <w:b/>
          <w:kern w:val="0"/>
          <w:sz w:val="52"/>
          <w:szCs w:val="52"/>
        </w:rPr>
      </w:pPr>
    </w:p>
    <w:p w14:paraId="1D7A977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22A0273B">
      <w:pPr>
        <w:spacing w:line="540" w:lineRule="exact"/>
        <w:jc w:val="center"/>
        <w:rPr>
          <w:rFonts w:ascii="华文中宋" w:hAnsi="华文中宋" w:eastAsia="华文中宋" w:cs="宋体"/>
          <w:b/>
          <w:kern w:val="0"/>
          <w:sz w:val="52"/>
          <w:szCs w:val="52"/>
        </w:rPr>
      </w:pPr>
    </w:p>
    <w:p w14:paraId="36524D2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F360A15">
      <w:pPr>
        <w:spacing w:line="540" w:lineRule="exact"/>
        <w:jc w:val="center"/>
        <w:rPr>
          <w:rFonts w:hAnsi="宋体" w:eastAsia="仿宋_GB2312" w:cs="宋体"/>
          <w:kern w:val="0"/>
          <w:sz w:val="30"/>
          <w:szCs w:val="30"/>
        </w:rPr>
      </w:pPr>
    </w:p>
    <w:p w14:paraId="3BEEE5F8">
      <w:pPr>
        <w:spacing w:line="540" w:lineRule="exact"/>
        <w:jc w:val="center"/>
        <w:rPr>
          <w:rFonts w:hAnsi="宋体" w:eastAsia="仿宋_GB2312" w:cs="宋体"/>
          <w:kern w:val="0"/>
          <w:sz w:val="30"/>
          <w:szCs w:val="30"/>
        </w:rPr>
      </w:pPr>
    </w:p>
    <w:p w14:paraId="1043A0A8">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102555BA">
      <w:pPr>
        <w:spacing w:line="540" w:lineRule="exact"/>
        <w:jc w:val="center"/>
        <w:rPr>
          <w:rFonts w:hAnsi="宋体" w:eastAsia="仿宋_GB2312" w:cs="宋体"/>
          <w:kern w:val="0"/>
          <w:sz w:val="30"/>
          <w:szCs w:val="30"/>
        </w:rPr>
      </w:pPr>
    </w:p>
    <w:p w14:paraId="36FB8A90">
      <w:pPr>
        <w:spacing w:line="540" w:lineRule="exact"/>
        <w:jc w:val="center"/>
        <w:rPr>
          <w:rFonts w:hAnsi="宋体" w:eastAsia="仿宋_GB2312" w:cs="宋体"/>
          <w:kern w:val="0"/>
          <w:sz w:val="30"/>
          <w:szCs w:val="30"/>
        </w:rPr>
      </w:pPr>
    </w:p>
    <w:p w14:paraId="2D5AAED9">
      <w:pPr>
        <w:spacing w:line="540" w:lineRule="exact"/>
        <w:jc w:val="center"/>
        <w:rPr>
          <w:rFonts w:hAnsi="宋体" w:eastAsia="仿宋_GB2312" w:cs="宋体"/>
          <w:kern w:val="0"/>
          <w:sz w:val="30"/>
          <w:szCs w:val="30"/>
        </w:rPr>
      </w:pPr>
    </w:p>
    <w:p w14:paraId="138E47A0">
      <w:pPr>
        <w:spacing w:line="540" w:lineRule="exact"/>
        <w:rPr>
          <w:rFonts w:hAnsi="宋体" w:eastAsia="仿宋_GB2312" w:cs="宋体"/>
          <w:kern w:val="0"/>
          <w:sz w:val="30"/>
          <w:szCs w:val="30"/>
        </w:rPr>
      </w:pPr>
    </w:p>
    <w:p w14:paraId="747C991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598FF0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2024年保基本民生-村级组织运转经费</w:t>
      </w:r>
    </w:p>
    <w:p w14:paraId="10383055">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托里县库普乡人民政府</w:t>
      </w:r>
    </w:p>
    <w:p w14:paraId="56FB7B9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托里县库普乡人民政府</w:t>
      </w:r>
    </w:p>
    <w:p w14:paraId="7665004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巴合德尔</w:t>
      </w:r>
    </w:p>
    <w:p w14:paraId="05E7A945">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2025年04月25日</w:t>
      </w:r>
    </w:p>
    <w:p w14:paraId="169B719C">
      <w:pPr>
        <w:spacing w:line="700" w:lineRule="exact"/>
        <w:ind w:firstLine="708" w:firstLineChars="236"/>
        <w:jc w:val="left"/>
        <w:rPr>
          <w:rFonts w:hAnsi="宋体" w:eastAsia="仿宋_GB2312" w:cs="宋体"/>
          <w:kern w:val="0"/>
          <w:sz w:val="30"/>
          <w:szCs w:val="30"/>
        </w:rPr>
      </w:pPr>
    </w:p>
    <w:p w14:paraId="0B6832BC">
      <w:pPr>
        <w:spacing w:line="540" w:lineRule="exact"/>
        <w:rPr>
          <w:rStyle w:val="19"/>
          <w:rFonts w:ascii="黑体" w:hAnsi="黑体" w:eastAsia="黑体"/>
          <w:b w:val="0"/>
          <w:spacing w:val="-4"/>
          <w:sz w:val="32"/>
          <w:szCs w:val="32"/>
        </w:rPr>
      </w:pPr>
    </w:p>
    <w:p w14:paraId="5FC2376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14:paraId="6A148B45">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14:paraId="0A69AB16">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一、基本情况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（一）项目概况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1.项目背景</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深入贯彻落实以习近平同志为核心的党中央治疆方略特别是社会稳定长治久安总目标，根据《新疆维吾尔自治区村级组织运转经费资金监管办法（试行）》要求，建立村级组织运转经费资金有利于更好的调动社区干部工作积极性，充分发挥社区干部的职能作用，显著提高了地方文化水平提高情况，明显提升了老百姓幸福指数提升情况，有效提高社区干部办公效率，提升社区干部收入水平，为更好的服务当地农牧民群众打下良好的基础，提高村委会干部工作积极性，保障各项工作正常运转。</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2.项目主要内容：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主要内容：2024年项目资金198万元，用于受益村队19个，有利于更好的调动社区干部工作积极性，充分发挥社区干部的职能作用，显著提高了地方文化水平提高情况，明显提升了老百姓幸福指数提升情况，有效提高社区干部办公效率，提升社区干部收入水平，为更好的服务当地农牧民群众打下良好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项目实施情况：本项目于2024年1月开始实施，截至2024年12月，该项目已实施完成 ,用于受益村队19个，有利于更好的调动社区干部工作积极性，充分发挥社区干部的职能作用，显著提高了地方文化水平提高情况，明显提升了老百姓幸福指数提升情况，有效提高社区干部办公效率，提升社区干部收入水平，为更好的服务当地农牧民群众打下良好的基础，提高村委会干部工作积极性，保障各项工作正常运转，受益村队满意度95%。</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3.资金投入和使用情况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该项目年初预算数209万元，全年预算数198万元（年中调整11万元），该项目资金已全部落实到位，资金来源为财政拨款。</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209万元，全年预算数198万元（年中调整11万元），全年执行数198万元，预算执行率为100%，主要用于：19个村队，有利于更好的调动社区干部工作积极性，充分发挥社区干部的职能作用，显著提高了地方文化水平提高情况，明显提升了老百姓幸福指数提升情况，有效提高社区干部办公效率，提升社区干部收入水平，为更好的服务当地农牧民群众打下良好的基础，提高村委会干部工作积极性，保障各项工作正常运转。</w:t>
      </w:r>
    </w:p>
    <w:p w14:paraId="1B81A069">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14:paraId="79B44FB1">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1.总体目标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2024年项目资金198万元 ,用于受益村队19个，有利于更好的调动村队干部工作积极性，充分发挥村队干部的职能作用，显著提高了地方文化水平提高情况，明显提升了老百姓幸福指数提升情况，有效提高村队干部办公效率，提升村队干部收入水平，为更好的服务当地农牧民群众打下良好的基础，提高村委会干部工作积极性，保障各项工作正常运转，受益村队满意度95%。</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中目标：完成资金支付达到60%。资金用于受益村队19个，有利于更好的调动社区干部的工作积极性，提高了地方文化水平提高情况，有效提高了社区干部办公效率，为更好的服务当地农牧民群众打下良好的基础，提高村委会干部工作积极性，保障各项工作正常运转。</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年终目标：完成资金支付达到100%，项目资金198万元 ,用于受益村队19个，更好的调动社区干部工作积极性，充分发挥社区干部的职能作用，显著提高了地方文化水平提高情况，明显提升了老百姓幸福指数提升情况，有效提高社区干部办公效率，提升社区干部收入水平，提高村委会干部工作积极性，保障各项工作正常运转，受益村队满意度95%。</w:t>
      </w:r>
    </w:p>
    <w:p w14:paraId="0C226F0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14:paraId="75889C12">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14:paraId="72B7D170">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二、绩效评价工作开展情况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（一）绩效评价目的、对象和范围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1.绩效评价完整性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绩效评价遵循财政部《关于印发&lt;项目支出绩效评价管理办法&gt;的通知》（财预〔2020〕10号）以及自治区财政厅《自治区财政支出绩效评价管理暂行办法》（新财预〔2018〕189号）等文件规定，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2.绩效评价的目的</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（1）评估项目实施效果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通过对项目预算执行情况及各项绩效目标达成程度的系统性分析，全面、客观地评估项目在预定周期内的实施效果，包括社会效益维度指标，为项目后续的改进与优化提供科学依据。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（2）提升资源利用效率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（3）强化项目管理责任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（4）为决策提供支持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（5）促进项目持续改进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2024年保基本民生-村级组织运转经费及其预算执行情况。该项目由库普乡人民政府责实施，旨在有利于更好的调动社区干部工作积极性，充分发挥社区干部的职能作用，显著提高了地方文化水平提高情况，明显提升了老百姓幸福指数提升情况，有效提高社区干部办公效率，提升社区干部收入水平，为更好的服务当地农牧民群众打下良好的基础，提高村委会干部工作积极性，保障各项工作正常运转，受益村队满意度95%。项目预算涵盖从2024年1月1日至2024年12月25日的全部资金投入与支出，涉及资金总额为198万元。</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（1）项目预算编制与执行：全面审视项目预算的编制依据、合理性、科学性以及实际执行情况，包括预算调整的原因和效果。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（2）资金管理：深入分析项目资金的分配、使用和监管情况，确保资金使用的合规性、高效性和透明度。</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社会影响：考察项目对社会方面的影响。</w:t>
      </w:r>
    </w:p>
    <w:p w14:paraId="6C386D32">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14:paraId="43C78EE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（二）绩效评价原则、评价指标体系（详情见表1）、评价方法、评价标准。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1.绩效评价原则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具体评价指标体系详情见附件1</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（二）比较法。根据我单位和塔城地区的实际情况将我单位绩效实施情况与绩效目标、历史情况的同类项目的支出情况进行一对一比较。</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（四）最低成本法。根据我单位和塔城地区的实际情况，在2024年保基本民生-村级组织运转经费此项目绩效目标确定的前提下，选择将村队经费成本最小的方法。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（1）计划标准。指以预先制定的目标、计划、预算、定额等作为评价标准。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（2）行业标准。指参照国家公布的行业指标数据制定的评价标准。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（3）历史标准。指参照历史数据制定的评价标准，为体现绩效改进的原则，在可实现的条件下应当确定相对较高的评价标准。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（4）财政部门和预算部门确认或认可的其他标准。</w:t>
      </w:r>
    </w:p>
    <w:p w14:paraId="1DFCB2D5">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14:paraId="62044FA6">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（1）前期准备与规划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D4AFC3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14:paraId="00D03DC9">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14:paraId="7A164AB5">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三、综合评价情况及评价结论（附相关评分表）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（一）评价情况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2024年保基本民生-村级组织运转经费在资金到位率、资金使用合规率更好的调动社区干部工作积极性，充分发挥社区干部的职能作用等方面表现出色，达到了预期的标准与要求。同时，项目也在调动村队干部工作积极性，充分发挥村队干部的职能作用取得了显著的成效，如显著提高了地方文化水平提高情况，明显提升了老百姓幸福指数提升情况，有效提高社区干部办公效率，提升社区干部收入水平等。</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在项目管理方面，库普乡人民政府通过有效的规划、组织与协调，项目得以顺利实施，并在预算与时间上保持了良好的控制。</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从项目效益的角度来看，本项目不仅实现了预期的社会效益方面产生了积极的影响。具体而言，社会服务能力情况方面的提升，为项目的利益相关者带来了实实在在的利益。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综上所述，2024年保基本民生-村级组织运转经费在绩效评价中表现出色，达到了项目的预期目标，并在多个方面取得了显著的成效。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100分，得分率为100%。项目过程类指标权重为20分，得分为20分，得分率为100%。项目产出类指标权重为40分，得分为40分，得分率为 100%。项目效益类指标权重为20分，得分为20分，得分率为100%。具体打分情况详见：附件1综合评分表。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表1综合评分表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一级指标 权重分 得分 得分率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项目决策 20 20 100%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项目过程 20 20 100%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项目产出 40 40 100%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项目效益 20 20 100%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合计 100 100 100%</w:t>
      </w:r>
    </w:p>
    <w:p w14:paraId="26AB84E8">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14:paraId="512F2A30">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（一）项目决策情况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BD76987">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14:paraId="4EBA811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14:paraId="3DA21C76">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（二）项目过程情况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项目过程类指标包括资金管理和组织实施两方面的内容，由5个三级指标构成，权重分值为20分，实际得分20分，得分率为100%。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本项目总投资198万元，财政资金及时足额到位，到位率100%，预算资金按计划进度执行。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预算编制较为详细，项目资金支出总体能够按照预算执行，预算资金支出198万元，预算执行率为100%。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p>
    <w:p w14:paraId="60A75B8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14:paraId="54A3FE45">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（三）项目产出情况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项目产出类指标包括产出数量、产出质量、产出时效、产出成本四方面的内容，由7个三级指标构成，权重分为40分，实际得分40分，得分率为100%。具体产出指标完成情况如下：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指标1：经费村队，指标值：≥19个村，实际完成值：19个村，指标完成率100 %.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指标2：资金发放月数，指标值：=12月，实际完成值：12月，指标完成率100 %。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指标1：资金到位率，指标值：=100%，实际完成值：100%，指标完成率100%”。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指标2：资金使用合规率，指标值：=100%,实际完成值：100%，指标完成率100 %。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指标1：项目完工时间，指标值：2024年12月25日，实际完成值：2024年12月25日，指标完成率100 %。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指标2：资金支付及时率，指标值=100%，实际完成值：100%，指标完成率100 %。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④成本指标：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指标1：每村经费成本，指标值：≤10.42万元/村，实际完成值：10.42万元/村，指标完成率100 %。</w:t>
      </w:r>
    </w:p>
    <w:p w14:paraId="6284685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14:paraId="2055D98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14:paraId="214E126F">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（四）项目效益情况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②社会效益指标：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指标1：社会服务能力情况，指标值：明显提升，实际完成值：基本达成年目标，指标完成率100%。</w:t>
      </w:r>
    </w:p>
    <w:p w14:paraId="17DBF204">
      <w:pPr>
        <w:spacing w:line="540" w:lineRule="exact"/>
        <w:ind w:firstLine="567" w:firstLineChars="181"/>
        <w:rPr>
          <w:rFonts w:ascii="楷体" w:hAnsi="楷体" w:eastAsia="楷体"/>
          <w:b/>
          <w:spacing w:val="-4"/>
          <w:sz w:val="32"/>
          <w:szCs w:val="32"/>
        </w:rPr>
      </w:pPr>
    </w:p>
    <w:p w14:paraId="5B61F15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14:paraId="15CBFAA2">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2.满意度：</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指标1：村干部满意度，指标值：≥95%，实际完成值：95%，指标完成率100 %。</w:t>
      </w:r>
    </w:p>
    <w:p w14:paraId="2E37C88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14:paraId="5EA346C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（五）预算执行进度与绩效指标总体完成率偏差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2024村级运转经费项目年初预算209万元，全年预算198万元（年中调整11万元），实际支出198万元，预算执行率为100%，项目绩效指标总体完成率为100%，总体偏差率为0%。</w:t>
      </w:r>
    </w:p>
    <w:p w14:paraId="274371E7">
      <w:pPr>
        <w:spacing w:line="540" w:lineRule="exact"/>
        <w:ind w:firstLine="567" w:firstLineChars="181"/>
        <w:rPr>
          <w:rFonts w:ascii="楷体" w:hAnsi="楷体" w:eastAsia="楷体"/>
          <w:b/>
          <w:spacing w:val="-4"/>
          <w:sz w:val="32"/>
          <w:szCs w:val="32"/>
        </w:rPr>
      </w:pPr>
    </w:p>
    <w:p w14:paraId="2185BAA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14:paraId="7882C42C">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14:paraId="1949583F">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六.主要经验及做法、存在的问题及原因分析</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（一）主要经验及做法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（二）存在的问题及原因分析</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26D37CFF">
      <w:pPr>
        <w:ind w:firstLine="624" w:firstLineChars="200"/>
        <w:rPr>
          <w:rFonts w:ascii="仿宋_GB2312" w:eastAsia="仿宋_GB2312"/>
          <w:spacing w:val="-4"/>
          <w:sz w:val="32"/>
          <w:szCs w:val="32"/>
        </w:rPr>
      </w:pPr>
    </w:p>
    <w:p w14:paraId="32EE7557">
      <w:pPr>
        <w:spacing w:line="540" w:lineRule="exact"/>
        <w:ind w:firstLine="567"/>
        <w:rPr>
          <w:rStyle w:val="19"/>
          <w:rFonts w:ascii="仿宋" w:hAnsi="仿宋" w:eastAsia="仿宋"/>
          <w:b w:val="0"/>
          <w:spacing w:val="-4"/>
          <w:sz w:val="32"/>
          <w:szCs w:val="32"/>
        </w:rPr>
      </w:pPr>
    </w:p>
    <w:p w14:paraId="078EC681">
      <w:pPr>
        <w:spacing w:line="540" w:lineRule="exact"/>
        <w:ind w:firstLine="567"/>
        <w:rPr>
          <w:rStyle w:val="19"/>
          <w:rFonts w:ascii="仿宋" w:hAnsi="仿宋" w:eastAsia="仿宋"/>
          <w:b w:val="0"/>
          <w:spacing w:val="-4"/>
          <w:sz w:val="32"/>
          <w:szCs w:val="32"/>
        </w:rPr>
      </w:pPr>
    </w:p>
    <w:p w14:paraId="78E94012">
      <w:pPr>
        <w:spacing w:line="540" w:lineRule="exact"/>
        <w:rPr>
          <w:rStyle w:val="19"/>
          <w:rFonts w:ascii="仿宋" w:hAnsi="仿宋" w:eastAsia="仿宋"/>
          <w:b w:val="0"/>
          <w:spacing w:val="-4"/>
          <w:sz w:val="32"/>
          <w:szCs w:val="32"/>
        </w:rPr>
      </w:pP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556F772-D949-4E17-897F-E6398009DA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5BD21D9-F7F1-44FA-AD3D-F67E191D383A}"/>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8D34AD87-2A04-4B5E-9F31-DC50BF69F9DA}"/>
  </w:font>
  <w:font w:name="华文中宋">
    <w:altName w:val="宋体"/>
    <w:panose1 w:val="02010600040101010101"/>
    <w:charset w:val="86"/>
    <w:family w:val="auto"/>
    <w:pitch w:val="default"/>
    <w:sig w:usb0="00000000" w:usb1="00000000" w:usb2="00000010" w:usb3="00000000" w:csb0="0004009F" w:csb1="00000000"/>
    <w:embedRegular r:id="rId4" w:fontKey="{FEF26A08-3656-459C-9BF8-69AC8ED9A4BE}"/>
  </w:font>
  <w:font w:name="方正小标宋_GBK">
    <w:panose1 w:val="02000000000000000000"/>
    <w:charset w:val="86"/>
    <w:family w:val="script"/>
    <w:pitch w:val="default"/>
    <w:sig w:usb0="A00002BF" w:usb1="38CF7CFA" w:usb2="00082016" w:usb3="00000000" w:csb0="00040001" w:csb1="00000000"/>
    <w:embedRegular r:id="rId5" w:fontKey="{B0045D33-9490-4E1F-9027-50597EEEFC1D}"/>
  </w:font>
  <w:font w:name="仿宋_GB2312">
    <w:panose1 w:val="02010609030101010101"/>
    <w:charset w:val="86"/>
    <w:family w:val="modern"/>
    <w:pitch w:val="default"/>
    <w:sig w:usb0="00000001" w:usb1="080E0000" w:usb2="00000000" w:usb3="00000000" w:csb0="00040000" w:csb1="00000000"/>
    <w:embedRegular r:id="rId6" w:fontKey="{A9D9C820-E47B-4CEC-80DF-C3CB3036787A}"/>
  </w:font>
  <w:font w:name="楷体">
    <w:panose1 w:val="02010609060101010101"/>
    <w:charset w:val="86"/>
    <w:family w:val="modern"/>
    <w:pitch w:val="default"/>
    <w:sig w:usb0="800002BF" w:usb1="38CF7CFA" w:usb2="00000016" w:usb3="00000000" w:csb0="00040001" w:csb1="00000000"/>
    <w:embedRegular r:id="rId7" w:fontKey="{3FF77572-5971-4AA2-A1D4-1401C39FA1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0FAF7BB">
        <w:pPr>
          <w:pStyle w:val="12"/>
          <w:jc w:val="center"/>
        </w:pPr>
        <w:r>
          <w:fldChar w:fldCharType="begin"/>
        </w:r>
        <w:r>
          <w:instrText xml:space="preserve">PAGE   \* MERGEFORMAT</w:instrText>
        </w:r>
        <w:r>
          <w:fldChar w:fldCharType="separate"/>
        </w:r>
        <w:r>
          <w:rPr>
            <w:lang w:val="zh-CN"/>
          </w:rPr>
          <w:t>1</w:t>
        </w:r>
        <w:r>
          <w:fldChar w:fldCharType="end"/>
        </w:r>
      </w:p>
    </w:sdtContent>
  </w:sdt>
  <w:p w14:paraId="34F2F7FE">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11D4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99" w:semiHidden="0"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uiPriority w:val="10"/>
    <w:rPr>
      <w:rFonts w:asciiTheme="majorHAnsi" w:hAnsiTheme="majorHAnsi" w:eastAsiaTheme="majorEastAsia"/>
      <w:b/>
      <w:bCs/>
      <w:kern w:val="28"/>
      <w:sz w:val="32"/>
      <w:szCs w:val="32"/>
    </w:rPr>
  </w:style>
  <w:style w:type="character" w:customStyle="1" w:styleId="31">
    <w:name w:val="副标题 字符"/>
    <w:basedOn w:val="18"/>
    <w:link w:val="14"/>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uiPriority w:val="99"/>
    <w:rPr>
      <w:rFonts w:ascii="Calibri" w:hAnsi="Calibri" w:eastAsia="宋体"/>
      <w:kern w:val="2"/>
      <w:sz w:val="18"/>
      <w:szCs w:val="18"/>
    </w:rPr>
  </w:style>
  <w:style w:type="character" w:customStyle="1" w:styleId="45">
    <w:name w:val="页脚 字符"/>
    <w:basedOn w:val="18"/>
    <w:link w:val="12"/>
    <w:uiPriority w:val="99"/>
    <w:rPr>
      <w:rFonts w:ascii="Calibri" w:hAnsi="Calibri" w:eastAsia="宋体"/>
      <w:kern w:val="2"/>
      <w:sz w:val="18"/>
      <w:szCs w:val="18"/>
    </w:rPr>
  </w:style>
  <w:style w:type="character" w:customStyle="1" w:styleId="46">
    <w:name w:val="批注框文本 字符"/>
    <w:basedOn w:val="18"/>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

<file path=customXml/itemProps1.xml><?xml version="1.0" encoding="utf-8"?>
<ds:datastoreItem xmlns:ds="http://schemas.openxmlformats.org/officeDocument/2006/customXml" ds:itemID="{1d1a1266-d536-445e-bf48-ecfa6bcd9ec8}">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9848</Words>
  <Characters>10147</Characters>
  <Lines>5</Lines>
  <Paragraphs>1</Paragraphs>
  <TotalTime>85</TotalTime>
  <ScaleCrop>false</ScaleCrop>
  <LinksUpToDate>false</LinksUpToDate>
  <CharactersWithSpaces>10191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来财&amp;十个勤天</cp:lastModifiedBy>
  <cp:lastPrinted>2018-12-31T10:56:00Z</cp:lastPrinted>
  <dcterms:modified xsi:type="dcterms:W3CDTF">2025-10-31T09:01:21Z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eyJoZGlkIjoiZTEwMTFjZmI3NWUwMGRmYWEyNzFiMzQ2OTlkZWE5ODAiLCJ1c2VySWQiOiIzNzI2MDMzNTYifQ==</vt:lpwstr>
  </property>
  <property fmtid="{D5CDD505-2E9C-101B-9397-08002B2CF9AE}" pid="4" name="ICV">
    <vt:lpwstr>A4622DAB1C57477AA5AF53F42DF79984_12</vt:lpwstr>
  </property>
</Properties>
</file>